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Муниципальное казённое общеобразовательное учреждение</w:t>
      </w:r>
    </w:p>
    <w:p>
      <w:pPr>
        <w:spacing w:after="0" w:line="24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«Ульяновская средняя общеобразовательная школа №1»</w:t>
      </w:r>
    </w:p>
    <w:p>
      <w:pPr>
        <w:spacing w:after="0" w:line="24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(МКОУ «Ульяновская СОШ №1»)</w:t>
      </w:r>
    </w:p>
    <w:p>
      <w:pPr>
        <w:jc w:val="right"/>
        <w:rPr>
          <w:rFonts w:eastAsia="Times New Roman"/>
          <w:color w:val="000000"/>
          <w:kern w:val="0"/>
          <w:sz w:val="28"/>
          <w:szCs w:val="28"/>
        </w:rPr>
      </w:pP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8"/>
          <w:lang w:val="ru-RU"/>
        </w:rPr>
        <w:t>Приложение</w:t>
      </w: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 xml:space="preserve"> 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к основной общеобразовательной программе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основного общего образования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утверждено приказом МКОУ «Ульяновская СОШ №1»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от 1.09.2023 года № 67</w:t>
      </w: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8"/>
          <w:lang w:val="ru-RU"/>
        </w:rPr>
        <w:t>Учебный</w:t>
      </w: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 xml:space="preserve"> план среднего общего образования 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для обучающихся 10-11 классов</w:t>
      </w:r>
    </w:p>
    <w:p>
      <w:pPr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муниципального казённого общеобразовательного учреждения</w:t>
      </w:r>
    </w:p>
    <w:p>
      <w:pPr>
        <w:spacing w:after="0" w:line="240" w:lineRule="auto"/>
        <w:ind w:left="0" w:firstLine="0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«Ульяновская средняя общеобразовательная школа №1»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( пятидневная учебная неделя)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на 2023-2024 учебный год</w:t>
      </w: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Пояснительная записка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план среднего общего образования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МКОУ «Ульяновская СОШ №1»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(далее - учебный план) для 10-11 классов,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реализующих основную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образовательную программу среднего общего образования,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соответствующую ФГОС СОО (Приказ Министерства просвещения Российской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  <w:r>
        <w:rPr>
          <w:sz w:val="28"/>
          <w:szCs w:val="28"/>
        </w:rPr>
        <w:t xml:space="preserve">Учебный план профиля </w:t>
      </w:r>
      <w:r>
        <w:rPr>
          <w:sz w:val="28"/>
          <w:szCs w:val="28"/>
          <w:lang w:val="ru-RU"/>
        </w:rPr>
        <w:t>построен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 ориентацией на будущую сферу профессиональной деятельности, с учетом предполагаемого продолжения образования обучающихся,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учетом </w:t>
      </w:r>
      <w:r>
        <w:rPr>
          <w:sz w:val="28"/>
          <w:szCs w:val="28"/>
        </w:rPr>
        <w:t xml:space="preserve"> намерени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и предпочтени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обучающихся и их родителей (законных представителей).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left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план является частью образовательной программы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МКОУ «Ульяновская СОШ №1»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разработанной в соответствии с ФГОС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среднего общего образования, с учетом Федеральной образовательной программой среднего общего образования, и обеспечивает выполнение санитарно- эпидемиологических требований СП 2.4.3648-20 и гигиенических нормативов и требований СанПиН 1.2.3685-21.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основу учебного плана положен вариант федерального учебного плана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универсального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профиля с углубленным изучением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литературы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обществознания при пятидневной учебной неделе.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Учебный план гуманитарного профиля обучения включает 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учебных предметов («Русский язык», «Литература», «Иностранный язык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(английский)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»,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Математика», «Вероятность и статистика»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 курсов «Индивидуальный проект», «Избранные главы математики» и «Трудные вопросы биологии»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предусматривает изучение 2 учебных предметов на углубленном уровне из соответствующих профилю обучения предметных областей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Русский язык и литература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» и «Общественно-научные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предметы»: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литература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обществознани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firstLine="700" w:firstLineChars="25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год начинается 01.09.2023 и заканчивается 24.05.2024.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Продолжительность учебного года в 10-11 классах составляет 34 учебные недели.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Учебные занятия для учащихся 10-11 классов проводятся по 5-ти дневной учебной неделе.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Максимальный объем аудиторной нагрузки обучающихся в неделю составляет в 10 классе – 34 часа, в 11 классе – 34 часа. 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Часть учебного плана, формируемая участниками образовательных отношений, обеспечивает реализацию индивидуальных потребностей обучающихся. Время,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отводимое на данную часть учебного плана внутри максимально допустимой недельной нагрузки обучающихся, использовано на дополнительные курсы: «</w:t>
      </w:r>
      <w:r>
        <w:rPr>
          <w:sz w:val="28"/>
          <w:szCs w:val="28"/>
          <w:lang w:val="ru-RU"/>
        </w:rPr>
        <w:t>Избранные</w:t>
      </w:r>
      <w:r>
        <w:rPr>
          <w:rFonts w:hint="default"/>
          <w:sz w:val="28"/>
          <w:szCs w:val="28"/>
          <w:lang w:val="ru-RU"/>
        </w:rPr>
        <w:t xml:space="preserve"> главы математики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  <w:t xml:space="preserve"> ( 1 час в 10 классе, 2 часа в 11 классе)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«</w:t>
      </w:r>
      <w:r>
        <w:rPr>
          <w:sz w:val="28"/>
          <w:szCs w:val="28"/>
          <w:lang w:val="ru-RU"/>
        </w:rPr>
        <w:t>Трудные</w:t>
      </w:r>
      <w:r>
        <w:rPr>
          <w:rFonts w:hint="default"/>
          <w:sz w:val="28"/>
          <w:szCs w:val="28"/>
          <w:lang w:val="ru-RU"/>
        </w:rPr>
        <w:t xml:space="preserve"> вопросы биологии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  <w:t xml:space="preserve">( 1 час в 10 классе, 1 час в 11 классе). 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  <w:t xml:space="preserve">Кроме того, в соответствии с Методическими рекомендациями по реализации ФГОС при введении ФОП, часть учебного плана, формируемая участниками образовательного процесса, при реализации универсального профиля формируется из часов, отведенных на углубленное изучение предметов: «Литература» (5 часов в 10 классе, 5 часов в 11 классе), «Обществознание» ( 4 часа в 10 классе и 4 часа в 11 классе), а так же часть внеурочных занятий, представленная курсами внеурочной деятенльности в объеме 4 часа в 10 классе и 4 часа в 11 классе). Кроме того, в 10 классе на реализацию индивидуальных потребностей направлен курс «Индивидуальный проект» - 1 час. Таким образом, часть учебного плана, направленная на реализацию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индивидуальных потребностей обучающихся</w:t>
      </w:r>
      <w:r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  <w:t xml:space="preserve"> составляет 16 часов в 10 классе и 16 часов в 11 классе, что составляет 40 % от учебного плана ( Учебных предметов и внеурочной деятельности). 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default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sz w:val="28"/>
          <w:szCs w:val="28"/>
        </w:rPr>
        <w:t>В учебном плане  предусмотрено выполнение обучающимися индивидуального(ых) проекта(ов). Индивидуальный проект выполняется обучающимся самостоятельно под руководством учителя 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МКОУ «Ульяновская СОШ №1»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языком обучения является русский язык.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Промежуточная аттестация – процедура, проводимая с целью оценки качества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освоения обучающимися части содержания или всего объема учебной дисциплины за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учебный год (годовое оценивание). 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Промежуточная/годовая аттестация обучающихся за четверть осуществляется в </w:t>
      </w:r>
    </w:p>
    <w:p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соответствии с календарным учебным графиком.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Все предметы обязательной части учебного плана оцениваются по четвертям.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Формы и порядок проведения промежуточной аттестации определяются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«Положением о формах, периодичности и порядке текущего контроля успеваемости и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промежуточной аттестации обучающихся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МКОУ «Ульяновская СОШ №1»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Проводится в форме контрольной работы,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защиты проекта, зачета и др.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Освоение основной образовательной программы среднего общего образования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завершается итоговой аттестацией.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Нормативный срок освоения основной образовательной программы среднего общего образования составляет 2 года.</w:t>
      </w: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599"/>
        </w:tabs>
        <w:spacing w:line="470" w:lineRule="exact"/>
        <w:ind w:firstLine="420" w:firstLineChars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Суммарный объём домашнего задания по всем предметам </w:t>
      </w:r>
      <w:r>
        <w:rPr>
          <w:rStyle w:val="13"/>
          <w:sz w:val="28"/>
          <w:szCs w:val="28"/>
        </w:rPr>
        <w:t>для</w:t>
      </w:r>
      <w:r>
        <w:rPr>
          <w:sz w:val="28"/>
          <w:szCs w:val="28"/>
        </w:rPr>
        <w:t xml:space="preserve"> каждого класса не превыша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 продолжительности выполнения 3,5 часа в соответствии с Гигиеническими нормативами и Санитарно-эпидемиологическими требованиями.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 xml:space="preserve">Учебный план </w:t>
      </w:r>
      <w:r>
        <w:rPr>
          <w:rFonts w:eastAsia="Times New Roman"/>
          <w:color w:val="000000"/>
          <w:kern w:val="0"/>
          <w:sz w:val="28"/>
          <w:szCs w:val="28"/>
          <w:lang w:val="ru-RU"/>
        </w:rPr>
        <w:t>С</w:t>
      </w:r>
      <w:r>
        <w:rPr>
          <w:rFonts w:eastAsia="Times New Roman"/>
          <w:color w:val="000000"/>
          <w:kern w:val="0"/>
          <w:sz w:val="28"/>
          <w:szCs w:val="28"/>
        </w:rPr>
        <w:t xml:space="preserve">ОО </w:t>
      </w: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2023 - 2024 учебный год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Универсальный профиль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tbl>
      <w:tblPr>
        <w:tblStyle w:val="4"/>
        <w:tblpPr w:vertAnchor="page" w:horzAnchor="page" w:tblpX="875" w:tblpY="2941"/>
        <w:tblOverlap w:val="never"/>
        <w:tblW w:w="99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00"/>
        <w:gridCol w:w="2555"/>
        <w:gridCol w:w="1264"/>
        <w:gridCol w:w="1475"/>
        <w:gridCol w:w="10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Предметная</w:t>
            </w:r>
          </w:p>
          <w:p>
            <w:pPr>
              <w:pStyle w:val="11"/>
              <w:shd w:val="clear" w:color="auto" w:fill="auto"/>
              <w:spacing w:line="260" w:lineRule="exact"/>
              <w:rPr>
                <w:sz w:val="10"/>
                <w:szCs w:val="10"/>
              </w:rPr>
            </w:pPr>
            <w:r>
              <w:t>область</w:t>
            </w:r>
          </w:p>
        </w:tc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hd w:val="clear" w:color="auto" w:fill="auto"/>
              <w:spacing w:line="260" w:lineRule="exact"/>
              <w:rPr>
                <w:sz w:val="10"/>
                <w:szCs w:val="10"/>
              </w:rPr>
            </w:pPr>
            <w:r>
              <w:t>Учебный предмет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sz w:val="10"/>
                <w:szCs w:val="10"/>
                <w:lang w:val="ru-RU"/>
              </w:rPr>
            </w:pPr>
            <w:r>
              <w:t>Уровень</w:t>
            </w:r>
            <w:r>
              <w:rPr>
                <w:rFonts w:hint="default"/>
                <w:lang w:val="ru-RU"/>
              </w:rPr>
              <w:t xml:space="preserve"> освоения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7" w:lineRule="exact"/>
            </w:pPr>
            <w:r>
              <w:t>Количество часов в неделю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after="120" w:line="260" w:lineRule="exact"/>
            </w:pPr>
            <w:r>
              <w:t>10</w:t>
            </w:r>
          </w:p>
          <w:p>
            <w:pPr>
              <w:pStyle w:val="11"/>
              <w:shd w:val="clear" w:color="auto" w:fill="auto"/>
              <w:spacing w:before="120" w:line="260" w:lineRule="exact"/>
            </w:pPr>
            <w:r>
              <w:t>класс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after="120" w:line="260" w:lineRule="exact"/>
            </w:pPr>
            <w:r>
              <w:t>11</w:t>
            </w:r>
          </w:p>
          <w:p>
            <w:pPr>
              <w:pStyle w:val="11"/>
              <w:shd w:val="clear" w:color="auto" w:fill="auto"/>
              <w:spacing w:before="120" w:line="260" w:lineRule="exact"/>
            </w:pPr>
            <w:r>
              <w:t>класс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991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  <w:r>
              <w:t>Обязательная часть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Русский язык и литература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Русский язык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Литература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after="120" w:line="260" w:lineRule="exact"/>
            </w:pPr>
            <w:r>
              <w:t>Иностранные</w:t>
            </w:r>
          </w:p>
          <w:p>
            <w:pPr>
              <w:pStyle w:val="11"/>
              <w:shd w:val="clear" w:color="auto" w:fill="auto"/>
              <w:spacing w:before="120" w:line="260" w:lineRule="exact"/>
            </w:pPr>
            <w:r>
              <w:t>языки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Иностранный язык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7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Математика и информатика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  <w:jc w:val="both"/>
            </w:pPr>
            <w:r>
              <w:t>Алгебра и начала математического анализа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Г еометрия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7" w:lineRule="exact"/>
            </w:pPr>
            <w:r>
              <w:t>Вероятность и статистика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Информатика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7" w:lineRule="exact"/>
            </w:pPr>
            <w:r>
              <w:t>Естественно</w:t>
            </w:r>
            <w:r>
              <w:softHyphen/>
            </w:r>
            <w:r>
              <w:t>научные предметы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Физика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Химия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Биология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Общественно</w:t>
            </w:r>
            <w:r>
              <w:softHyphen/>
            </w:r>
            <w:r>
              <w:t>научные предметы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История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Обществознание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Г еография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Физическая культура, основы безопасности жизнедеятельности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after="120" w:line="260" w:lineRule="exact"/>
            </w:pPr>
            <w:r>
              <w:t>Физическая</w:t>
            </w:r>
          </w:p>
          <w:p>
            <w:pPr>
              <w:pStyle w:val="11"/>
              <w:shd w:val="clear" w:color="auto" w:fill="auto"/>
              <w:spacing w:before="120" w:line="260" w:lineRule="exact"/>
            </w:pPr>
            <w:r>
              <w:t>культура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2" w:hRule="exact"/>
          <w:jc w:val="center"/>
        </w:trPr>
        <w:tc>
          <w:tcPr>
            <w:tcW w:w="36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/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Основы</w:t>
            </w:r>
          </w:p>
          <w:p>
            <w:pPr>
              <w:pStyle w:val="11"/>
              <w:shd w:val="clear" w:color="auto" w:fill="auto"/>
              <w:spacing w:line="312" w:lineRule="exact"/>
            </w:pPr>
            <w:r>
              <w:t>безопасности</w:t>
            </w:r>
          </w:p>
          <w:p>
            <w:pPr>
              <w:pStyle w:val="11"/>
              <w:shd w:val="clear" w:color="auto" w:fill="auto"/>
              <w:spacing w:line="312" w:lineRule="exact"/>
            </w:pPr>
            <w:r>
              <w:t>жизнедеятельности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Б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after="120" w:line="260" w:lineRule="exact"/>
            </w:pPr>
            <w:r>
              <w:t>Индивидуальный</w:t>
            </w:r>
          </w:p>
          <w:p>
            <w:pPr>
              <w:pStyle w:val="11"/>
              <w:shd w:val="clear" w:color="auto" w:fill="auto"/>
              <w:spacing w:before="120" w:line="260" w:lineRule="exact"/>
            </w:pPr>
            <w:r>
              <w:t>проект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6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ИТОГО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tbl>
      <w:tblPr>
        <w:tblStyle w:val="4"/>
        <w:tblpPr w:vertAnchor="page" w:horzAnchor="page" w:tblpX="875" w:tblpY="1379"/>
        <w:tblOverlap w:val="never"/>
        <w:tblW w:w="99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65"/>
        <w:gridCol w:w="1254"/>
        <w:gridCol w:w="1466"/>
        <w:gridCol w:w="10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exact"/>
          <w:jc w:val="center"/>
        </w:trPr>
        <w:tc>
          <w:tcPr>
            <w:tcW w:w="991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Часть, формируемая участниками образовательных отношений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26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Избранные</w:t>
            </w:r>
            <w:r>
              <w:rPr>
                <w:rFonts w:hint="default"/>
                <w:lang w:val="ru-RU"/>
              </w:rPr>
              <w:t xml:space="preserve"> главы математики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26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Трудные</w:t>
            </w:r>
            <w:r>
              <w:rPr>
                <w:rFonts w:hint="default"/>
                <w:lang w:val="ru-RU"/>
              </w:rPr>
              <w:t xml:space="preserve"> вопросы биологии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>
        <w:trPr>
          <w:trHeight w:val="859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26" w:lineRule="exact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Учебные недели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Всего часов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7" w:lineRule="exact"/>
            </w:pPr>
            <w: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34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exact"/>
          <w:jc w:val="center"/>
        </w:trPr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312" w:lineRule="exact"/>
            </w:pPr>
            <w: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shd w:val="clear" w:color="auto" w:fill="auto"/>
              <w:spacing w:line="260" w:lineRule="exact"/>
            </w:pPr>
            <w:r>
              <w:t>2312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>
      <w:pPr>
        <w:jc w:val="left"/>
        <w:rPr>
          <w:rFonts w:ascii="Tahoma" w:hAnsi="Tahoma" w:eastAsia="Times New Roman" w:cs="Tahoma"/>
          <w:color w:val="000000"/>
          <w:kern w:val="0"/>
          <w:sz w:val="28"/>
          <w:szCs w:val="28"/>
        </w:rPr>
      </w:pP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</w:p>
    <w:p>
      <w:pPr>
        <w:framePr w:w="9710" w:wrap="notBeside" w:vAnchor="text" w:hAnchor="text" w:xAlign="center" w:y="1"/>
        <w:rPr>
          <w:sz w:val="2"/>
          <w:szCs w:val="2"/>
        </w:rPr>
      </w:pPr>
    </w:p>
    <w:p>
      <w:pPr>
        <w:pStyle w:val="11"/>
        <w:shd w:val="clear" w:color="auto" w:fill="auto"/>
        <w:spacing w:before="291" w:line="470" w:lineRule="exact"/>
        <w:ind w:right="160"/>
        <w:jc w:val="both"/>
      </w:pPr>
    </w:p>
    <w:p>
      <w:pPr>
        <w:framePr w:w="9970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framePr w:w="9989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278"/>
        </w:tabs>
        <w:spacing w:line="470" w:lineRule="exact"/>
        <w:jc w:val="both"/>
      </w:pP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278"/>
        </w:tabs>
        <w:spacing w:line="470" w:lineRule="exact"/>
        <w:jc w:val="both"/>
      </w:pP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278"/>
        </w:tabs>
        <w:spacing w:line="470" w:lineRule="exact"/>
        <w:jc w:val="both"/>
      </w:pP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278"/>
        </w:tabs>
        <w:spacing w:line="470" w:lineRule="exact"/>
        <w:jc w:val="both"/>
      </w:pPr>
    </w:p>
    <w:p>
      <w:pPr>
        <w:pStyle w:val="11"/>
        <w:numPr>
          <w:ilvl w:val="0"/>
          <w:numId w:val="0"/>
        </w:numPr>
        <w:shd w:val="clear" w:color="auto" w:fill="auto"/>
        <w:tabs>
          <w:tab w:val="left" w:pos="1278"/>
        </w:tabs>
        <w:spacing w:line="470" w:lineRule="exact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pStyle w:val="11"/>
        <w:shd w:val="clear" w:color="auto" w:fill="auto"/>
        <w:spacing w:before="291" w:line="470" w:lineRule="exact"/>
        <w:ind w:right="160" w:firstLine="820"/>
        <w:jc w:val="both"/>
      </w:pPr>
    </w:p>
    <w:p>
      <w:pPr>
        <w:jc w:val="both"/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309020205020404"/>
    <w:charset w:val="CC"/>
    <w:family w:val="auto"/>
    <w:pitch w:val="default"/>
    <w:sig w:usb0="00000000" w:usb1="00000000" w:usb2="00000000" w:usb3="00000000" w:csb0="00000004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3918585</wp:posOffset>
              </wp:positionH>
              <wp:positionV relativeFrom="page">
                <wp:posOffset>427990</wp:posOffset>
              </wp:positionV>
              <wp:extent cx="121920" cy="10668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0"/>
                              <w:rFonts w:eastAsia="Cambria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eastAsia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0"/>
                              <w:rFonts w:eastAsia="Cambria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eastAsia="Cambria"/>
                            </w:rPr>
                            <w:t>#</w:t>
                          </w:r>
                          <w:r>
                            <w:rPr>
                              <w:rStyle w:val="20"/>
                              <w:rFonts w:eastAsia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8.55pt;margin-top:33.7pt;height:8.4pt;width:9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q6/N9YAAAAJAQAADwAAAAAA&#10;AAABACAAAAAiAAAAZHJzL2Rvd25yZXYueG1sUEsBAhQAFAAAAAgAh07iQIShzMncAQAAqQMAAA4A&#10;AAAAAAAAAQAgAAAAJ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shd w:val="clear" w:color="auto" w:fill="auto"/>
                      <w:spacing w:line="240" w:lineRule="auto"/>
                    </w:pPr>
                    <w:r>
                      <w:rPr>
                        <w:rStyle w:val="20"/>
                        <w:rFonts w:eastAsia="Cambria"/>
                      </w:rPr>
                      <w:fldChar w:fldCharType="begin"/>
                    </w:r>
                    <w:r>
                      <w:rPr>
                        <w:rStyle w:val="20"/>
                        <w:rFonts w:eastAsia="Cambria"/>
                      </w:rPr>
                      <w:instrText xml:space="preserve"> PAGE \* MERGEFORMAT </w:instrText>
                    </w:r>
                    <w:r>
                      <w:rPr>
                        <w:rStyle w:val="20"/>
                        <w:rFonts w:eastAsia="Cambria"/>
                      </w:rPr>
                      <w:fldChar w:fldCharType="separate"/>
                    </w:r>
                    <w:r>
                      <w:rPr>
                        <w:rStyle w:val="20"/>
                        <w:rFonts w:eastAsia="Cambria"/>
                      </w:rPr>
                      <w:t>#</w:t>
                    </w:r>
                    <w:r>
                      <w:rPr>
                        <w:rStyle w:val="20"/>
                        <w:rFonts w:eastAsia="Cambr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966D5"/>
    <w:rsid w:val="00016241"/>
    <w:rsid w:val="000777F1"/>
    <w:rsid w:val="00126105"/>
    <w:rsid w:val="001753E7"/>
    <w:rsid w:val="001764E3"/>
    <w:rsid w:val="00187AFA"/>
    <w:rsid w:val="002744D9"/>
    <w:rsid w:val="009E2B64"/>
    <w:rsid w:val="00A00289"/>
    <w:rsid w:val="00A371A0"/>
    <w:rsid w:val="00A5700C"/>
    <w:rsid w:val="00AD359E"/>
    <w:rsid w:val="00AD66DF"/>
    <w:rsid w:val="00B36A41"/>
    <w:rsid w:val="00B61404"/>
    <w:rsid w:val="00C23E89"/>
    <w:rsid w:val="00DD4EC3"/>
    <w:rsid w:val="00E53CC5"/>
    <w:rsid w:val="00E81B87"/>
    <w:rsid w:val="00EB563F"/>
    <w:rsid w:val="00EF7CE7"/>
    <w:rsid w:val="00F6231C"/>
    <w:rsid w:val="00FF7A19"/>
    <w:rsid w:val="03C966D5"/>
    <w:rsid w:val="05D45367"/>
    <w:rsid w:val="12AD10B0"/>
    <w:rsid w:val="20E86F76"/>
    <w:rsid w:val="21E65ACC"/>
    <w:rsid w:val="2FA84FEB"/>
    <w:rsid w:val="38AD4F63"/>
    <w:rsid w:val="3B5B4587"/>
    <w:rsid w:val="53D9387F"/>
    <w:rsid w:val="569851C6"/>
    <w:rsid w:val="5B6C4B54"/>
    <w:rsid w:val="6CBC1A5D"/>
    <w:rsid w:val="75D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lang w:val="ru-RU" w:eastAsia="ru-RU" w:bidi="ar-SA"/>
    </w:rPr>
  </w:style>
  <w:style w:type="paragraph" w:styleId="2">
    <w:name w:val="heading 1"/>
    <w:basedOn w:val="1"/>
    <w:next w:val="1"/>
    <w:link w:val="9"/>
    <w:unhideWhenUsed/>
    <w:qFormat/>
    <w:uiPriority w:val="9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qFormat/>
    <w:uiPriority w:val="99"/>
    <w:pPr>
      <w:spacing w:after="223"/>
      <w:jc w:val="both"/>
    </w:pPr>
  </w:style>
  <w:style w:type="table" w:styleId="8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99"/>
    <w:rPr>
      <w:rFonts w:ascii="Arial" w:hAnsi="Arial" w:cs="Arial"/>
      <w:b/>
      <w:bCs/>
      <w:kern w:val="32"/>
      <w:sz w:val="32"/>
      <w:szCs w:val="32"/>
    </w:rPr>
  </w:style>
  <w:style w:type="paragraph" w:customStyle="1" w:styleId="10">
    <w:name w:val="Основной текст (5)"/>
    <w:basedOn w:val="1"/>
    <w:qFormat/>
    <w:uiPriority w:val="0"/>
    <w:pPr>
      <w:shd w:val="clear" w:color="auto" w:fill="FFFFFF"/>
      <w:spacing w:after="600" w:line="326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1">
    <w:name w:val="Основной текст (2)4"/>
    <w:basedOn w:val="1"/>
    <w:link w:val="14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2">
    <w:name w:val="Подпись к таблице"/>
    <w:basedOn w:val="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3">
    <w:name w:val="Основной текст (2) + 11 pt;Полужирный;Курсив"/>
    <w:basedOn w:val="14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2)_"/>
    <w:basedOn w:val="3"/>
    <w:link w:val="11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character" w:customStyle="1" w:styleId="15">
    <w:name w:val="Основной текст (2) Exact"/>
    <w:basedOn w:val="3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16">
    <w:name w:val="Сноска"/>
    <w:basedOn w:val="1"/>
    <w:link w:val="18"/>
    <w:qFormat/>
    <w:uiPriority w:val="0"/>
    <w:pPr>
      <w:shd w:val="clear" w:color="auto" w:fill="FFFFFF"/>
      <w:spacing w:line="283" w:lineRule="exact"/>
      <w:jc w:val="both"/>
    </w:pPr>
    <w:rPr>
      <w:rFonts w:ascii="Times New Roman" w:hAnsi="Times New Roman" w:eastAsia="Times New Roman" w:cs="Times New Roman"/>
      <w:b/>
      <w:bCs/>
      <w:sz w:val="21"/>
      <w:szCs w:val="21"/>
    </w:rPr>
  </w:style>
  <w:style w:type="character" w:customStyle="1" w:styleId="17">
    <w:name w:val="Сноска + 10 pt;Не полужирный;Курсив;Интервал 0 pt"/>
    <w:basedOn w:val="18"/>
    <w:qFormat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Сноска_"/>
    <w:basedOn w:val="3"/>
    <w:link w:val="16"/>
    <w:qFormat/>
    <w:uiPriority w:val="0"/>
    <w:rPr>
      <w:rFonts w:ascii="Times New Roman" w:hAnsi="Times New Roman" w:eastAsia="Times New Roman" w:cs="Times New Roman"/>
      <w:b/>
      <w:bCs/>
      <w:sz w:val="21"/>
      <w:szCs w:val="21"/>
    </w:rPr>
  </w:style>
  <w:style w:type="paragraph" w:customStyle="1" w:styleId="19">
    <w:name w:val="Колонтитул1"/>
    <w:basedOn w:val="1"/>
    <w:link w:val="21"/>
    <w:qFormat/>
    <w:uiPriority w:val="0"/>
    <w:pPr>
      <w:shd w:val="clear" w:color="auto" w:fill="FFFFFF"/>
      <w:spacing w:line="0" w:lineRule="atLeast"/>
    </w:pPr>
    <w:rPr>
      <w:rFonts w:ascii="Cambria" w:hAnsi="Cambria" w:eastAsia="Cambria" w:cs="Cambria"/>
      <w:sz w:val="14"/>
      <w:szCs w:val="14"/>
    </w:rPr>
  </w:style>
  <w:style w:type="character" w:customStyle="1" w:styleId="20">
    <w:name w:val="Колонтитул + Times New Roman;11 pt"/>
    <w:basedOn w:val="2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Колонтитул_"/>
    <w:basedOn w:val="3"/>
    <w:link w:val="19"/>
    <w:qFormat/>
    <w:uiPriority w:val="0"/>
    <w:rPr>
      <w:rFonts w:ascii="Cambria" w:hAnsi="Cambria" w:eastAsia="Cambria" w:cs="Cambria"/>
      <w:sz w:val="14"/>
      <w:szCs w:val="14"/>
    </w:rPr>
  </w:style>
  <w:style w:type="character" w:customStyle="1" w:styleId="22">
    <w:name w:val="Колонтитул + Times New Roman;10;5 pt;Полужирный"/>
    <w:basedOn w:val="2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Колонтитул"/>
    <w:basedOn w:val="21"/>
    <w:qFormat/>
    <w:uiPriority w:val="0"/>
    <w:rPr>
      <w:rFonts w:ascii="Cambria" w:hAnsi="Cambria" w:eastAsia="Cambria" w:cs="Cambria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1596</Words>
  <Characters>9098</Characters>
  <Lines>75</Lines>
  <Paragraphs>21</Paragraphs>
  <TotalTime>122</TotalTime>
  <ScaleCrop>false</ScaleCrop>
  <LinksUpToDate>false</LinksUpToDate>
  <CharactersWithSpaces>10673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2023-08-26T23:15:00Z</dcterms:created>
  <dc:creator>учитель</dc:creator>
  <cp:lastModifiedBy>учитель</cp:lastModifiedBy>
  <cp:lastPrinted>2023-10-05T07:06:00Z</cp:lastPrinted>
  <dcterms:modified xsi:type="dcterms:W3CDTF">2023-11-04T17:47:55Z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4CA8F77DC662469396E7CBE590CEE019_13</vt:lpwstr>
  </property>
</Properties>
</file>